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spacing w:before="11" w:after="60"/>
        <w:jc w:val="center"/>
      </w:pPr>
      <w:r>
        <w:drawing>
          <wp:inline distT="0" distB="0" distL="114300" distR="114300">
            <wp:extent cx="2348230" cy="68453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48593" cy="685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>
      <w:pPr>
        <w:spacing w:after="120"/>
        <w:jc w:val="center"/>
        <w:rPr>
          <w:b/>
          <w:sz w:val="22"/>
          <w:szCs w:val="22"/>
        </w:rPr>
      </w:pPr>
    </w:p>
    <w:p w14:paraId="00000003">
      <w:pPr>
        <w:spacing w:after="120"/>
        <w:jc w:val="center"/>
        <w:rPr>
          <w:b/>
          <w:sz w:val="22"/>
          <w:szCs w:val="22"/>
        </w:rPr>
      </w:pPr>
      <w:r>
        <w:rPr>
          <w:b/>
          <w:sz w:val="22"/>
          <w:szCs w:val="22"/>
          <w:rtl w:val="0"/>
        </w:rPr>
        <w:t>INSTITUTO FEDERAL DE EDUCAÇÃO, CIÊNCIA E TECNOLOGIA DE SERGIPE</w:t>
      </w:r>
    </w:p>
    <w:p w14:paraId="00000004">
      <w:pPr>
        <w:spacing w:after="120"/>
        <w:ind w:right="1212"/>
        <w:jc w:val="center"/>
        <w:rPr>
          <w:b/>
          <w:sz w:val="22"/>
          <w:szCs w:val="22"/>
        </w:rPr>
      </w:pPr>
      <w:r>
        <w:rPr>
          <w:b/>
          <w:sz w:val="22"/>
          <w:szCs w:val="22"/>
          <w:rtl w:val="0"/>
        </w:rPr>
        <w:t>CAMPUS LAGARTO / DIREÇÃO DE ENSINO</w:t>
      </w:r>
    </w:p>
    <w:p w14:paraId="00000005">
      <w:pPr>
        <w:spacing w:before="69" w:after="60"/>
        <w:jc w:val="center"/>
        <w:rPr>
          <w:b/>
          <w:u w:val="single"/>
        </w:rPr>
      </w:pPr>
      <w:r>
        <w:rPr>
          <w:rFonts w:hint="default"/>
          <w:b/>
          <w:u w:val="single"/>
          <w:rtl w:val="0"/>
          <w:lang w:val="pt-BR"/>
        </w:rPr>
        <w:t xml:space="preserve">RETIFICAÇÃO Nº 01 - </w:t>
      </w:r>
      <w:r>
        <w:rPr>
          <w:b/>
          <w:u w:val="single"/>
          <w:rtl w:val="0"/>
        </w:rPr>
        <w:t xml:space="preserve">EDITAL Nº 01/2025/DEN/GENSUP/GENTEC/COAE </w:t>
      </w:r>
    </w:p>
    <w:p w14:paraId="00000006">
      <w:pPr>
        <w:spacing w:before="69" w:after="60"/>
        <w:jc w:val="center"/>
        <w:rPr>
          <w:b/>
          <w:u w:val="single"/>
        </w:rPr>
      </w:pPr>
      <w:r>
        <w:rPr>
          <w:b/>
          <w:u w:val="single"/>
          <w:rtl w:val="0"/>
        </w:rPr>
        <w:t>SELEÇÃO DE MONITORES</w:t>
      </w:r>
    </w:p>
    <w:p w14:paraId="00000007">
      <w:pPr>
        <w:spacing w:before="2" w:after="60"/>
      </w:pPr>
    </w:p>
    <w:p w14:paraId="00000054">
      <w:pPr>
        <w:spacing w:before="70" w:after="60"/>
        <w:ind w:right="11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Onde se lê:</w:t>
      </w:r>
    </w:p>
    <w:p w14:paraId="00000055">
      <w:pPr>
        <w:pStyle w:val="2"/>
        <w:numPr>
          <w:ilvl w:val="0"/>
          <w:numId w:val="1"/>
        </w:numPr>
        <w:tabs>
          <w:tab w:val="left" w:pos="360"/>
        </w:tabs>
        <w:spacing w:after="0" w:afterAutospacing="0"/>
        <w:ind w:left="720" w:leftChars="0" w:right="1900" w:hanging="360" w:firstLineChars="0"/>
        <w:jc w:val="both"/>
        <w:rPr>
          <w:rFonts w:ascii="Times New Roman" w:hAnsi="Times New Roman" w:eastAsia="Times New Roman" w:cs="Times New Roman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sz w:val="24"/>
          <w:szCs w:val="24"/>
          <w:rtl w:val="0"/>
        </w:rPr>
        <w:t xml:space="preserve">DA VIGÊNCIA E DO VALOR DA BOLSA </w:t>
      </w:r>
    </w:p>
    <w:p w14:paraId="00000056">
      <w:pPr>
        <w:numPr>
          <w:ilvl w:val="1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40"/>
        </w:tabs>
        <w:ind w:left="720" w:leftChars="0" w:right="766" w:hanging="360" w:firstLineChars="0"/>
        <w:jc w:val="both"/>
        <w:rPr>
          <w:color w:val="000000"/>
        </w:rPr>
      </w:pPr>
      <w:r>
        <w:rPr>
          <w:color w:val="000000"/>
          <w:rtl w:val="0"/>
        </w:rPr>
        <w:t xml:space="preserve">O prazo de validade da bolsa será de </w:t>
      </w:r>
      <w:r>
        <w:rPr>
          <w:b/>
          <w:color w:val="000000"/>
          <w:rtl w:val="0"/>
        </w:rPr>
        <w:t>04 meses</w:t>
      </w:r>
      <w:r>
        <w:rPr>
          <w:color w:val="000000"/>
          <w:rtl w:val="0"/>
        </w:rPr>
        <w:t xml:space="preserve"> </w:t>
      </w:r>
      <w:r>
        <w:rPr>
          <w:rtl w:val="0"/>
        </w:rPr>
        <w:t>.</w:t>
      </w:r>
    </w:p>
    <w:p w14:paraId="00000057">
      <w:pPr>
        <w:numPr>
          <w:ilvl w:val="1"/>
          <w:numId w:val="1"/>
        </w:numPr>
        <w:tabs>
          <w:tab w:val="left" w:pos="540"/>
        </w:tabs>
        <w:spacing w:after="60"/>
        <w:ind w:left="720" w:leftChars="0" w:right="766" w:hanging="360" w:firstLineChars="0"/>
        <w:jc w:val="both"/>
      </w:pPr>
      <w:r>
        <w:rPr>
          <w:rtl w:val="0"/>
        </w:rPr>
        <w:t xml:space="preserve">O valor da bolsa é de </w:t>
      </w:r>
      <w:r>
        <w:rPr>
          <w:b/>
          <w:rtl w:val="0"/>
        </w:rPr>
        <w:t>R$ 150,00 (cento e cinquenta reais)</w:t>
      </w:r>
      <w:r>
        <w:rPr>
          <w:rtl w:val="0"/>
        </w:rPr>
        <w:t xml:space="preserve"> para nível integrado e de </w:t>
      </w:r>
      <w:r>
        <w:rPr>
          <w:b/>
          <w:rtl w:val="0"/>
        </w:rPr>
        <w:t xml:space="preserve">R$ 200,00 (duzentos reais) </w:t>
      </w:r>
      <w:r>
        <w:rPr>
          <w:rtl w:val="0"/>
        </w:rPr>
        <w:t>para nível superior .</w:t>
      </w:r>
    </w:p>
    <w:p w14:paraId="650B1F69">
      <w:pPr>
        <w:widowControl w:val="0"/>
        <w:numPr>
          <w:numId w:val="0"/>
        </w:numPr>
        <w:tabs>
          <w:tab w:val="left" w:pos="540"/>
        </w:tabs>
        <w:spacing w:after="60"/>
        <w:ind w:right="766" w:rightChars="0"/>
        <w:jc w:val="both"/>
        <w:rPr>
          <w:rFonts w:hint="default"/>
          <w:rtl w:val="0"/>
          <w:lang w:val="pt-BR"/>
        </w:rPr>
      </w:pPr>
      <w:r>
        <w:rPr>
          <w:rFonts w:hint="default"/>
          <w:rtl w:val="0"/>
          <w:lang w:val="pt-BR"/>
        </w:rPr>
        <w:t>Leia-se:</w:t>
      </w:r>
    </w:p>
    <w:p w14:paraId="021A2504">
      <w:pPr>
        <w:widowControl w:val="0"/>
        <w:numPr>
          <w:numId w:val="0"/>
        </w:numPr>
        <w:tabs>
          <w:tab w:val="left" w:pos="540"/>
        </w:tabs>
        <w:spacing w:after="60"/>
        <w:ind w:right="766" w:rightChars="0"/>
        <w:jc w:val="both"/>
        <w:rPr>
          <w:rFonts w:hint="default"/>
          <w:rtl w:val="0"/>
          <w:lang w:val="pt-BR"/>
        </w:rPr>
      </w:pPr>
    </w:p>
    <w:p w14:paraId="1D34AC42">
      <w:pPr>
        <w:pStyle w:val="2"/>
        <w:numPr>
          <w:ilvl w:val="0"/>
          <w:numId w:val="2"/>
        </w:numPr>
        <w:tabs>
          <w:tab w:val="left" w:pos="360"/>
        </w:tabs>
        <w:spacing w:after="0" w:afterAutospacing="0"/>
        <w:ind w:left="720" w:leftChars="0" w:right="1900" w:rightChars="0" w:hanging="360" w:firstLineChars="0"/>
        <w:jc w:val="both"/>
        <w:outlineLvl w:val="0"/>
        <w:rPr>
          <w:rFonts w:ascii="Times New Roman" w:hAnsi="Times New Roman" w:eastAsia="Times New Roman" w:cs="Times New Roman"/>
          <w:sz w:val="24"/>
          <w:szCs w:val="24"/>
          <w:u w:val="none"/>
        </w:rPr>
      </w:pPr>
      <w:r>
        <w:rPr>
          <w:rFonts w:ascii="Times New Roman" w:hAnsi="Times New Roman" w:eastAsia="Times New Roman" w:cs="Times New Roman"/>
          <w:sz w:val="24"/>
          <w:szCs w:val="24"/>
          <w:rtl w:val="0"/>
        </w:rPr>
        <w:t xml:space="preserve">DA VIGÊNCIA E DO VALOR DA BOLSA </w:t>
      </w:r>
    </w:p>
    <w:p w14:paraId="37B4B01B">
      <w:pPr>
        <w:numPr>
          <w:ilvl w:val="1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40"/>
        </w:tabs>
        <w:ind w:left="720" w:leftChars="0" w:right="766" w:hanging="360" w:firstLineChars="0"/>
        <w:jc w:val="both"/>
        <w:rPr>
          <w:color w:val="000000"/>
        </w:rPr>
      </w:pPr>
      <w:r>
        <w:rPr>
          <w:color w:val="000000"/>
          <w:rtl w:val="0"/>
        </w:rPr>
        <w:t>O prazo de validade da bolsa será de</w:t>
      </w:r>
      <w:r>
        <w:rPr>
          <w:rFonts w:hint="default"/>
          <w:color w:val="000000"/>
          <w:rtl w:val="0"/>
          <w:lang w:val="pt-BR"/>
        </w:rPr>
        <w:t xml:space="preserve"> até </w:t>
      </w:r>
      <w:r>
        <w:rPr>
          <w:color w:val="000000"/>
          <w:rtl w:val="0"/>
        </w:rPr>
        <w:t xml:space="preserve"> </w:t>
      </w:r>
      <w:r>
        <w:rPr>
          <w:b/>
          <w:color w:val="000000"/>
          <w:rtl w:val="0"/>
        </w:rPr>
        <w:t>0</w:t>
      </w:r>
      <w:r>
        <w:rPr>
          <w:rFonts w:hint="default"/>
          <w:b/>
          <w:color w:val="000000"/>
          <w:rtl w:val="0"/>
          <w:lang w:val="pt-BR"/>
        </w:rPr>
        <w:t>8</w:t>
      </w:r>
      <w:r>
        <w:rPr>
          <w:b/>
          <w:color w:val="000000"/>
          <w:rtl w:val="0"/>
        </w:rPr>
        <w:t xml:space="preserve"> meses</w:t>
      </w:r>
      <w:r>
        <w:rPr>
          <w:color w:val="000000"/>
          <w:rtl w:val="0"/>
        </w:rPr>
        <w:t xml:space="preserve"> </w:t>
      </w:r>
      <w:r>
        <w:rPr>
          <w:rtl w:val="0"/>
        </w:rPr>
        <w:t>.</w:t>
      </w:r>
    </w:p>
    <w:p w14:paraId="7346F157">
      <w:pPr>
        <w:numPr>
          <w:ilvl w:val="2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40"/>
        </w:tabs>
        <w:ind w:left="1080" w:leftChars="0" w:right="766" w:hanging="720" w:firstLineChars="0"/>
        <w:jc w:val="both"/>
        <w:rPr>
          <w:color w:val="000000"/>
        </w:rPr>
      </w:pPr>
      <w:r>
        <w:rPr>
          <w:rFonts w:hint="default"/>
          <w:rtl w:val="0"/>
          <w:lang w:val="pt-BR"/>
        </w:rPr>
        <w:t>Para a monitoria de ensino integrado, a validade é de 8 meses, seguindo o calendário abaixo:</w:t>
      </w:r>
    </w:p>
    <w:p w14:paraId="52987FCE">
      <w:pPr>
        <w:numPr>
          <w:ilvl w:val="3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40"/>
        </w:tabs>
        <w:ind w:left="1080" w:leftChars="0" w:right="766" w:hanging="720" w:firstLineChars="0"/>
        <w:jc w:val="both"/>
        <w:rPr>
          <w:color w:val="000000"/>
        </w:rPr>
      </w:pPr>
      <w:r>
        <w:rPr>
          <w:rFonts w:hint="default"/>
          <w:rtl w:val="0"/>
          <w:lang w:val="pt-BR"/>
        </w:rPr>
        <w:t>Maio, Junho, Julho, Agosto, Outubro, Novembro, Dezembro e Janeiro (2026)</w:t>
      </w:r>
    </w:p>
    <w:p w14:paraId="4FB9A16A">
      <w:pPr>
        <w:numPr>
          <w:ilvl w:val="2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40"/>
        </w:tabs>
        <w:ind w:left="1080" w:leftChars="0" w:right="766" w:hanging="720" w:firstLineChars="0"/>
        <w:jc w:val="both"/>
        <w:rPr>
          <w:color w:val="000000"/>
        </w:rPr>
      </w:pPr>
      <w:r>
        <w:rPr>
          <w:rFonts w:hint="default"/>
          <w:rtl w:val="0"/>
          <w:lang w:val="pt-BR"/>
        </w:rPr>
        <w:t>Para a monitoria de ensino superior, a validade é de 4 meses, seguindo o calendário abaixo:</w:t>
      </w:r>
    </w:p>
    <w:p w14:paraId="5CA5D4BE">
      <w:pPr>
        <w:numPr>
          <w:ilvl w:val="3"/>
          <w:numId w:val="2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tabs>
          <w:tab w:val="left" w:pos="540"/>
        </w:tabs>
        <w:ind w:left="1080" w:leftChars="0" w:right="766" w:hanging="720" w:firstLineChars="0"/>
        <w:jc w:val="both"/>
        <w:rPr>
          <w:color w:val="000000"/>
        </w:rPr>
      </w:pPr>
      <w:r>
        <w:rPr>
          <w:rFonts w:hint="default"/>
          <w:rtl w:val="0"/>
          <w:lang w:val="pt-BR"/>
        </w:rPr>
        <w:t>Maio, Junho, Julho e Agosto</w:t>
      </w:r>
    </w:p>
    <w:p w14:paraId="76E0AF4E">
      <w:pPr>
        <w:numPr>
          <w:ilvl w:val="1"/>
          <w:numId w:val="2"/>
        </w:numPr>
        <w:tabs>
          <w:tab w:val="left" w:pos="540"/>
        </w:tabs>
        <w:spacing w:after="60"/>
        <w:ind w:left="720" w:leftChars="0" w:right="766" w:hanging="360" w:firstLineChars="0"/>
        <w:jc w:val="both"/>
      </w:pPr>
      <w:r>
        <w:rPr>
          <w:rtl w:val="0"/>
        </w:rPr>
        <w:t xml:space="preserve">O valor da bolsa é de </w:t>
      </w:r>
      <w:r>
        <w:rPr>
          <w:b/>
          <w:rtl w:val="0"/>
        </w:rPr>
        <w:t>R$ 150,00 (cento e cinquenta reais)</w:t>
      </w:r>
      <w:r>
        <w:rPr>
          <w:rtl w:val="0"/>
        </w:rPr>
        <w:t xml:space="preserve"> para nível integrado e de </w:t>
      </w:r>
      <w:r>
        <w:rPr>
          <w:b/>
          <w:rtl w:val="0"/>
        </w:rPr>
        <w:t xml:space="preserve">R$ 200,00 (duzentos reais) </w:t>
      </w:r>
      <w:r>
        <w:rPr>
          <w:rtl w:val="0"/>
        </w:rPr>
        <w:t>para nível superior .</w:t>
      </w:r>
    </w:p>
    <w:p w14:paraId="6DE8B9F0">
      <w:pPr>
        <w:widowControl/>
        <w:spacing w:after="60"/>
        <w:jc w:val="center"/>
        <w:rPr>
          <w:rtl w:val="0"/>
        </w:rPr>
      </w:pPr>
    </w:p>
    <w:p w14:paraId="00000089">
      <w:pPr>
        <w:widowControl/>
        <w:spacing w:after="60"/>
        <w:jc w:val="center"/>
      </w:pPr>
      <w:r>
        <w:rPr>
          <w:rtl w:val="0"/>
        </w:rPr>
        <w:t>Lagarto,</w:t>
      </w:r>
      <w:r>
        <w:rPr>
          <w:rFonts w:hint="default"/>
          <w:rtl w:val="0"/>
          <w:lang w:val="pt-BR"/>
        </w:rPr>
        <w:t>23</w:t>
      </w:r>
      <w:r>
        <w:rPr>
          <w:rtl w:val="0"/>
        </w:rPr>
        <w:t xml:space="preserve"> de </w:t>
      </w:r>
      <w:r>
        <w:rPr>
          <w:rFonts w:hint="default"/>
          <w:rtl w:val="0"/>
          <w:lang w:val="pt-BR"/>
        </w:rPr>
        <w:t>abril</w:t>
      </w:r>
      <w:r>
        <w:rPr>
          <w:rtl w:val="0"/>
        </w:rPr>
        <w:t xml:space="preserve"> de 2025</w:t>
      </w:r>
    </w:p>
    <w:p w14:paraId="0000008A">
      <w:pPr>
        <w:widowControl/>
        <w:spacing w:after="60"/>
        <w:jc w:val="center"/>
      </w:pPr>
    </w:p>
    <w:p w14:paraId="0000008C">
      <w:pPr>
        <w:spacing w:after="60"/>
        <w:jc w:val="center"/>
      </w:pPr>
      <w:r>
        <w:rPr>
          <w:rtl w:val="0"/>
        </w:rPr>
        <w:t>Msc. Caio Marcelo de Albuquerque Cardoso</w:t>
      </w:r>
    </w:p>
    <w:p w14:paraId="0000008D">
      <w:pPr>
        <w:spacing w:after="60"/>
        <w:jc w:val="center"/>
        <w:rPr>
          <w:b/>
        </w:rPr>
      </w:pPr>
      <w:r>
        <w:rPr>
          <w:b/>
          <w:rtl w:val="0"/>
        </w:rPr>
        <w:t>COORDENADOR DE ASSISTÊNCIA ESTUDANTIL</w:t>
      </w:r>
    </w:p>
    <w:p w14:paraId="0000008E">
      <w:pPr>
        <w:spacing w:after="60"/>
        <w:jc w:val="center"/>
      </w:pPr>
      <w:r>
        <w:rPr>
          <w:rtl w:val="0"/>
        </w:rPr>
        <w:t>Prof. Dr. Rubens De Souza Matos Junior</w:t>
      </w:r>
    </w:p>
    <w:p w14:paraId="0000008F">
      <w:pPr>
        <w:spacing w:after="60"/>
        <w:jc w:val="center"/>
        <w:rPr>
          <w:b/>
        </w:rPr>
      </w:pPr>
      <w:r>
        <w:rPr>
          <w:b/>
          <w:rtl w:val="0"/>
        </w:rPr>
        <w:t>GERENTE DE ENSINO BÁSICO E TÉCNICO</w:t>
      </w:r>
    </w:p>
    <w:p w14:paraId="00000090">
      <w:pPr>
        <w:spacing w:after="60"/>
        <w:jc w:val="center"/>
      </w:pPr>
      <w:r>
        <w:rPr>
          <w:rtl w:val="0"/>
        </w:rPr>
        <w:t xml:space="preserve">Prof.  Msc.  </w:t>
      </w:r>
      <w:r>
        <w:rPr>
          <w:rFonts w:ascii="Cambria" w:hAnsi="Cambria" w:eastAsia="Cambria" w:cs="Cambria"/>
          <w:sz w:val="22"/>
          <w:szCs w:val="22"/>
          <w:rtl w:val="0"/>
        </w:rPr>
        <w:t>Marcos Vinicius Santana Prudente</w:t>
      </w:r>
      <w:r>
        <w:rPr>
          <w:rtl w:val="0"/>
        </w:rPr>
        <w:t xml:space="preserve"> </w:t>
      </w:r>
    </w:p>
    <w:p w14:paraId="00000091">
      <w:pPr>
        <w:widowControl/>
        <w:spacing w:after="60"/>
        <w:jc w:val="center"/>
      </w:pPr>
      <w:r>
        <w:rPr>
          <w:b/>
          <w:rtl w:val="0"/>
        </w:rPr>
        <w:t>GERENTE DE ENSINO SUPERIOR</w:t>
      </w:r>
      <w:r>
        <w:rPr>
          <w:rtl w:val="0"/>
        </w:rPr>
        <w:t xml:space="preserve"> </w:t>
      </w:r>
    </w:p>
    <w:p w14:paraId="00000092">
      <w:pPr>
        <w:widowControl/>
        <w:spacing w:after="60"/>
        <w:jc w:val="center"/>
      </w:pPr>
      <w:r>
        <w:rPr>
          <w:rtl w:val="0"/>
        </w:rPr>
        <w:t>Prof. Dr. Mauro José dos Santos</w:t>
      </w:r>
    </w:p>
    <w:p w14:paraId="00000093">
      <w:pPr>
        <w:widowControl/>
        <w:spacing w:after="60"/>
        <w:jc w:val="center"/>
      </w:pPr>
      <w:r>
        <w:rPr>
          <w:b/>
          <w:rtl w:val="0"/>
        </w:rPr>
        <w:t>DIRETOR DE ENSINO</w:t>
      </w:r>
      <w:r>
        <w:rPr>
          <w:rtl w:val="0"/>
        </w:rPr>
        <w:t xml:space="preserve"> </w:t>
      </w:r>
    </w:p>
    <w:p w14:paraId="00000094">
      <w:pPr>
        <w:widowControl/>
        <w:spacing w:after="60"/>
        <w:jc w:val="center"/>
      </w:pPr>
      <w:r>
        <w:rPr>
          <w:rtl w:val="0"/>
        </w:rPr>
        <w:t>Prof. Dr. Ricardo Monteiro Rocha</w:t>
      </w:r>
    </w:p>
    <w:p w14:paraId="000000A3">
      <w:pPr>
        <w:widowControl/>
        <w:spacing w:after="60"/>
        <w:jc w:val="center"/>
        <w:rPr>
          <w:b/>
          <w:sz w:val="36"/>
          <w:szCs w:val="36"/>
        </w:rPr>
      </w:pPr>
      <w:r>
        <w:rPr>
          <w:b/>
          <w:rtl w:val="0"/>
        </w:rPr>
        <w:t>DIRETOR GERAL</w:t>
      </w:r>
      <w:r>
        <w:rPr>
          <w:rtl w:val="0"/>
        </w:rPr>
        <w:t xml:space="preserve"> </w:t>
      </w:r>
      <w:bookmarkStart w:id="0" w:name="_GoBack"/>
      <w:bookmarkEnd w:id="0"/>
    </w:p>
    <w:p w14:paraId="000000A4">
      <w:pPr>
        <w:widowControl/>
        <w:spacing w:after="60"/>
        <w:jc w:val="center"/>
        <w:rPr>
          <w:b/>
          <w:sz w:val="36"/>
          <w:szCs w:val="36"/>
        </w:rPr>
      </w:pPr>
    </w:p>
    <w:p w14:paraId="000000A5">
      <w:pPr>
        <w:widowControl/>
        <w:spacing w:after="60"/>
        <w:rPr>
          <w:b/>
        </w:rPr>
      </w:pPr>
    </w:p>
    <w:sectPr>
      <w:pgSz w:w="11906" w:h="16838"/>
      <w:pgMar w:top="1417" w:right="1701" w:bottom="1417" w:left="1701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Robot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E671BA"/>
    <w:multiLevelType w:val="multilevel"/>
    <w:tmpl w:val="04E671BA"/>
    <w:lvl w:ilvl="0" w:tentative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720" w:hanging="360"/>
      </w:pPr>
    </w:lvl>
    <w:lvl w:ilvl="2" w:tentative="0">
      <w:start w:val="1"/>
      <w:numFmt w:val="decimal"/>
      <w:lvlText w:val="%1.%2.%3."/>
      <w:lvlJc w:val="left"/>
      <w:pPr>
        <w:ind w:left="1080" w:hanging="720"/>
      </w:pPr>
    </w:lvl>
    <w:lvl w:ilvl="3" w:tentative="0">
      <w:start w:val="1"/>
      <w:numFmt w:val="decimal"/>
      <w:lvlText w:val="%1.%2.%3.%4."/>
      <w:lvlJc w:val="left"/>
      <w:pPr>
        <w:ind w:left="1080" w:hanging="720"/>
      </w:pPr>
    </w:lvl>
    <w:lvl w:ilvl="4" w:tentative="0">
      <w:start w:val="1"/>
      <w:numFmt w:val="decimal"/>
      <w:lvlText w:val="%1.%2.%3.%4.%5."/>
      <w:lvlJc w:val="left"/>
      <w:pPr>
        <w:ind w:left="1440" w:hanging="1080"/>
      </w:pPr>
    </w:lvl>
    <w:lvl w:ilvl="5" w:tentative="0">
      <w:start w:val="1"/>
      <w:numFmt w:val="decimal"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800" w:hanging="1440"/>
      </w:pPr>
    </w:lvl>
    <w:lvl w:ilvl="7" w:tentative="0">
      <w:start w:val="1"/>
      <w:numFmt w:val="decimal"/>
      <w:lvlText w:val="%1.%2.%3.%4.%5.%6.%7.%8."/>
      <w:lvlJc w:val="left"/>
      <w:pPr>
        <w:ind w:left="1800" w:hanging="1440"/>
      </w:pPr>
    </w:lvl>
    <w:lvl w:ilvl="8" w:tentative="0">
      <w:start w:val="1"/>
      <w:numFmt w:val="decimal"/>
      <w:lvlText w:val="%1.%2.%3.%4.%5.%6.%7.%8.%9."/>
      <w:lvlJc w:val="left"/>
      <w:pPr>
        <w:ind w:left="2160" w:hanging="1800"/>
      </w:pPr>
    </w:lvl>
  </w:abstractNum>
  <w:abstractNum w:abstractNumId="1">
    <w:nsid w:val="6277B74A"/>
    <w:multiLevelType w:val="multilevel"/>
    <w:tmpl w:val="6277B74A"/>
    <w:lvl w:ilvl="0" w:tentative="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720" w:hanging="360"/>
      </w:pPr>
    </w:lvl>
    <w:lvl w:ilvl="2" w:tentative="0">
      <w:start w:val="1"/>
      <w:numFmt w:val="decimal"/>
      <w:lvlText w:val="%1.%2.%3."/>
      <w:lvlJc w:val="left"/>
      <w:pPr>
        <w:ind w:left="1080" w:hanging="720"/>
      </w:pPr>
    </w:lvl>
    <w:lvl w:ilvl="3" w:tentative="0">
      <w:start w:val="1"/>
      <w:numFmt w:val="decimal"/>
      <w:lvlText w:val="%1.%2.%3.%4."/>
      <w:lvlJc w:val="left"/>
      <w:pPr>
        <w:ind w:left="1080" w:hanging="720"/>
      </w:pPr>
    </w:lvl>
    <w:lvl w:ilvl="4" w:tentative="0">
      <w:start w:val="1"/>
      <w:numFmt w:val="decimal"/>
      <w:lvlText w:val="%1.%2.%3.%4.%5."/>
      <w:lvlJc w:val="left"/>
      <w:pPr>
        <w:ind w:left="1440" w:hanging="1080"/>
      </w:pPr>
    </w:lvl>
    <w:lvl w:ilvl="5" w:tentative="0">
      <w:start w:val="1"/>
      <w:numFmt w:val="decimal"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800" w:hanging="1440"/>
      </w:pPr>
    </w:lvl>
    <w:lvl w:ilvl="7" w:tentative="0">
      <w:start w:val="1"/>
      <w:numFmt w:val="decimal"/>
      <w:lvlText w:val="%1.%2.%3.%4.%5.%6.%7.%8."/>
      <w:lvlJc w:val="left"/>
      <w:pPr>
        <w:ind w:left="1800" w:hanging="1440"/>
      </w:pPr>
    </w:lvl>
    <w:lvl w:ilvl="8" w:tentative="0">
      <w:start w:val="1"/>
      <w:numFmt w:val="decimal"/>
      <w:lvlText w:val="%1.%2.%3.%4.%5.%6.%7.%8.%9."/>
      <w:lvlJc w:val="left"/>
      <w:pPr>
        <w:ind w:left="2160" w:hanging="18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1D3904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unhideWhenUsed="0" w:uiPriority="0" w:semiHidden="0" w:name="heading 4"/>
    <w:lsdException w:qFormat="1"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</w:pPr>
    <w:rPr>
      <w:sz w:val="24"/>
      <w:szCs w:val="24"/>
      <w:lang w:val="pt-BR"/>
    </w:rPr>
  </w:style>
  <w:style w:type="paragraph" w:styleId="2">
    <w:name w:val="heading 1"/>
    <w:basedOn w:val="1"/>
    <w:next w:val="1"/>
    <w:uiPriority w:val="0"/>
    <w:pPr>
      <w:ind w:left="720" w:hanging="360"/>
    </w:pPr>
    <w:rPr>
      <w:rFonts w:ascii="Cambria" w:hAnsi="Cambria" w:eastAsia="Cambria" w:cs="Cambria"/>
      <w:b/>
      <w:sz w:val="32"/>
      <w:szCs w:val="32"/>
    </w:rPr>
  </w:style>
  <w:style w:type="paragraph" w:styleId="3">
    <w:name w:val="heading 2"/>
    <w:basedOn w:val="1"/>
    <w:next w:val="1"/>
    <w:uiPriority w:val="0"/>
    <w:pPr>
      <w:keepNext/>
      <w:keepLines/>
      <w:spacing w:before="40"/>
    </w:pPr>
    <w:rPr>
      <w:rFonts w:ascii="Calibri" w:hAnsi="Calibri" w:eastAsia="Calibri" w:cs="Calibri"/>
      <w:color w:val="2E75B5"/>
      <w:sz w:val="26"/>
      <w:szCs w:val="26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spacing w:before="240" w:after="40"/>
    </w:pPr>
    <w:rPr>
      <w:b/>
    </w:rPr>
  </w:style>
  <w:style w:type="paragraph" w:styleId="6">
    <w:name w:val="heading 5"/>
    <w:basedOn w:val="1"/>
    <w:next w:val="1"/>
    <w:qFormat/>
    <w:uiPriority w:val="0"/>
    <w:pPr>
      <w:keepNext/>
      <w:keepLines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2">
    <w:name w:val="Table Normal"/>
    <w:qFormat/>
    <w:uiPriority w:val="0"/>
  </w:style>
  <w:style w:type="table" w:customStyle="1" w:styleId="13">
    <w:name w:val="_Style 10"/>
    <w:basedOn w:val="12"/>
    <w:qFormat/>
    <w:uiPriority w:val="0"/>
    <w:tblPr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14">
    <w:name w:val="_Style 11"/>
    <w:basedOn w:val="12"/>
    <w:uiPriority w:val="0"/>
    <w:tblPr>
      <w:tblCellMar>
        <w:top w:w="15" w:type="dxa"/>
        <w:left w:w="108" w:type="dxa"/>
        <w:bottom w:w="15" w:type="dxa"/>
        <w:right w:w="108" w:type="dxa"/>
      </w:tblCellMar>
    </w:tblPr>
  </w:style>
  <w:style w:type="table" w:customStyle="1" w:styleId="15">
    <w:name w:val="_Style 12"/>
    <w:basedOn w:val="12"/>
    <w:uiPriority w:val="0"/>
    <w:tblPr>
      <w:tblCellMar>
        <w:top w:w="15" w:type="dxa"/>
        <w:left w:w="108" w:type="dxa"/>
        <w:bottom w:w="15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6</TotalTime>
  <ScaleCrop>false</ScaleCrop>
  <LinksUpToDate>false</LinksUpToDate>
  <Application>WPS Office_12.2.0.20795_F1E327BC-269C-435d-A152-05C5408002CA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2025-04-23T15:06:45Z</dcterms:created>
  <dc:creator>caio.cardoso</dc:creator>
  <cp:lastModifiedBy>Caio Cardoso</cp:lastModifiedBy>
  <dcterms:modified xsi:type="dcterms:W3CDTF">2025-04-23T15:13:05Z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640DFD4C44AD4D549A4BF27F17DC2C4D_12</vt:lpwstr>
  </property>
</Properties>
</file>